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5A70" w14:textId="1CD58A94" w:rsidR="00C7676D" w:rsidRDefault="00C7676D" w:rsidP="007F3727">
      <w:pPr>
        <w:ind w:left="2160" w:firstLine="720"/>
        <w:rPr>
          <w:b/>
          <w:sz w:val="40"/>
        </w:rPr>
      </w:pPr>
      <w:r>
        <w:rPr>
          <w:b/>
          <w:noProof/>
          <w:sz w:val="40"/>
        </w:rPr>
        <w:drawing>
          <wp:anchor distT="0" distB="0" distL="114300" distR="114300" simplePos="0" relativeHeight="251658240" behindDoc="0" locked="0" layoutInCell="1" allowOverlap="1" wp14:anchorId="201FD422" wp14:editId="250FEB68">
            <wp:simplePos x="0" y="0"/>
            <wp:positionH relativeFrom="margin">
              <wp:align>right</wp:align>
            </wp:positionH>
            <wp:positionV relativeFrom="margin">
              <wp:posOffset>-508000</wp:posOffset>
            </wp:positionV>
            <wp:extent cx="1244600" cy="730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726F1" w14:textId="2ACD30CA" w:rsidR="007F3727" w:rsidRPr="00230652" w:rsidRDefault="007F3727" w:rsidP="007F3727">
      <w:pPr>
        <w:ind w:left="2160" w:firstLine="720"/>
        <w:rPr>
          <w:b/>
          <w:sz w:val="40"/>
        </w:rPr>
      </w:pPr>
      <w:r w:rsidRPr="00230652">
        <w:rPr>
          <w:b/>
          <w:sz w:val="40"/>
        </w:rPr>
        <w:t>PRESS RELEASE</w:t>
      </w:r>
    </w:p>
    <w:p w14:paraId="2C13F791" w14:textId="5D1D2F8F" w:rsidR="007F3727" w:rsidRPr="007C038A" w:rsidRDefault="660A76E3" w:rsidP="007F3727">
      <w:pPr>
        <w:rPr>
          <w:color w:val="000000"/>
          <w:sz w:val="26"/>
          <w:szCs w:val="26"/>
        </w:rPr>
      </w:pPr>
      <w:r w:rsidRPr="0631206D">
        <w:rPr>
          <w:color w:val="000000" w:themeColor="text1"/>
          <w:sz w:val="26"/>
          <w:szCs w:val="26"/>
        </w:rPr>
        <w:t>2</w:t>
      </w:r>
      <w:r w:rsidR="1AD835FE" w:rsidRPr="0631206D">
        <w:rPr>
          <w:color w:val="000000" w:themeColor="text1"/>
          <w:sz w:val="26"/>
          <w:szCs w:val="26"/>
        </w:rPr>
        <w:t>8</w:t>
      </w:r>
      <w:r w:rsidRPr="0631206D">
        <w:rPr>
          <w:color w:val="000000" w:themeColor="text1"/>
          <w:sz w:val="26"/>
          <w:szCs w:val="26"/>
          <w:vertAlign w:val="superscript"/>
        </w:rPr>
        <w:t>th</w:t>
      </w:r>
      <w:r w:rsidRPr="0631206D">
        <w:rPr>
          <w:color w:val="000000" w:themeColor="text1"/>
          <w:sz w:val="26"/>
          <w:szCs w:val="26"/>
        </w:rPr>
        <w:t xml:space="preserve"> March </w:t>
      </w:r>
      <w:r w:rsidR="4EF7FE7A" w:rsidRPr="0631206D">
        <w:rPr>
          <w:color w:val="000000" w:themeColor="text1"/>
          <w:sz w:val="26"/>
          <w:szCs w:val="26"/>
        </w:rPr>
        <w:t>202</w:t>
      </w:r>
      <w:r w:rsidRPr="0631206D">
        <w:rPr>
          <w:color w:val="000000" w:themeColor="text1"/>
          <w:sz w:val="26"/>
          <w:szCs w:val="26"/>
        </w:rPr>
        <w:t>3</w:t>
      </w:r>
      <w:r w:rsidR="000633CC">
        <w:tab/>
      </w:r>
      <w:r w:rsidR="000633CC">
        <w:tab/>
      </w:r>
      <w:r w:rsidR="000633CC">
        <w:tab/>
      </w:r>
      <w:r w:rsidR="000633CC">
        <w:tab/>
      </w:r>
      <w:r w:rsidR="4EF7FE7A" w:rsidRPr="0631206D">
        <w:rPr>
          <w:color w:val="000000" w:themeColor="text1"/>
          <w:sz w:val="26"/>
          <w:szCs w:val="26"/>
        </w:rPr>
        <w:t xml:space="preserve">                               Ref: </w:t>
      </w:r>
      <w:r w:rsidRPr="0631206D">
        <w:rPr>
          <w:color w:val="000000" w:themeColor="text1"/>
          <w:sz w:val="26"/>
          <w:szCs w:val="26"/>
        </w:rPr>
        <w:t>03</w:t>
      </w:r>
      <w:r w:rsidR="5C6A0613" w:rsidRPr="0631206D">
        <w:rPr>
          <w:color w:val="000000" w:themeColor="text1"/>
          <w:sz w:val="26"/>
          <w:szCs w:val="26"/>
        </w:rPr>
        <w:t>-</w:t>
      </w:r>
      <w:r w:rsidRPr="0631206D">
        <w:rPr>
          <w:color w:val="000000" w:themeColor="text1"/>
          <w:sz w:val="26"/>
          <w:szCs w:val="26"/>
        </w:rPr>
        <w:t>2</w:t>
      </w:r>
      <w:r w:rsidR="00B34266">
        <w:rPr>
          <w:color w:val="000000" w:themeColor="text1"/>
          <w:sz w:val="26"/>
          <w:szCs w:val="26"/>
        </w:rPr>
        <w:t>3</w:t>
      </w:r>
      <w:r w:rsidR="5C6A0613" w:rsidRPr="0631206D">
        <w:rPr>
          <w:color w:val="000000" w:themeColor="text1"/>
          <w:sz w:val="26"/>
          <w:szCs w:val="26"/>
        </w:rPr>
        <w:t>-</w:t>
      </w:r>
      <w:r w:rsidRPr="0631206D">
        <w:rPr>
          <w:color w:val="000000" w:themeColor="text1"/>
          <w:sz w:val="26"/>
          <w:szCs w:val="26"/>
        </w:rPr>
        <w:t>TIN2030VISION</w:t>
      </w:r>
    </w:p>
    <w:p w14:paraId="0CD74472" w14:textId="4687B7D5" w:rsidR="008F25FD" w:rsidRPr="0057383C" w:rsidRDefault="00DE6EA2" w:rsidP="00D032DE">
      <w:pPr>
        <w:spacing w:after="0" w:line="240" w:lineRule="auto"/>
        <w:rPr>
          <w:b/>
          <w:bCs/>
          <w:sz w:val="34"/>
          <w:szCs w:val="34"/>
        </w:rPr>
      </w:pPr>
      <w:r w:rsidRPr="0057383C">
        <w:rPr>
          <w:b/>
          <w:bCs/>
          <w:sz w:val="34"/>
          <w:szCs w:val="34"/>
        </w:rPr>
        <w:t xml:space="preserve">TIN2030 – ITA launches a </w:t>
      </w:r>
      <w:r w:rsidR="008E5BEA">
        <w:rPr>
          <w:b/>
          <w:bCs/>
          <w:sz w:val="34"/>
          <w:szCs w:val="34"/>
        </w:rPr>
        <w:t>V</w:t>
      </w:r>
      <w:r w:rsidRPr="0057383C">
        <w:rPr>
          <w:b/>
          <w:bCs/>
          <w:sz w:val="34"/>
          <w:szCs w:val="34"/>
        </w:rPr>
        <w:t xml:space="preserve">ision for </w:t>
      </w:r>
      <w:r w:rsidR="008E5BEA">
        <w:rPr>
          <w:b/>
          <w:bCs/>
          <w:sz w:val="34"/>
          <w:szCs w:val="34"/>
        </w:rPr>
        <w:t>T</w:t>
      </w:r>
      <w:r w:rsidRPr="0057383C">
        <w:rPr>
          <w:b/>
          <w:bCs/>
          <w:sz w:val="34"/>
          <w:szCs w:val="34"/>
        </w:rPr>
        <w:t>in</w:t>
      </w:r>
    </w:p>
    <w:p w14:paraId="20561814" w14:textId="77777777" w:rsidR="008F25FD" w:rsidRPr="005733A9" w:rsidRDefault="008F25FD" w:rsidP="00D032DE">
      <w:pPr>
        <w:spacing w:after="0" w:line="240" w:lineRule="auto"/>
        <w:rPr>
          <w:b/>
          <w:bCs/>
        </w:rPr>
      </w:pPr>
    </w:p>
    <w:p w14:paraId="7930FFF4" w14:textId="486EF6AB" w:rsidR="00A25959" w:rsidRPr="009E25BD" w:rsidRDefault="0052273F" w:rsidP="201F040E">
      <w:pPr>
        <w:spacing w:after="0" w:line="240" w:lineRule="auto"/>
        <w:rPr>
          <w:i/>
          <w:iCs/>
        </w:rPr>
      </w:pPr>
      <w:r w:rsidRPr="201F040E">
        <w:rPr>
          <w:i/>
          <w:iCs/>
        </w:rPr>
        <w:t>Tin will have a</w:t>
      </w:r>
      <w:r w:rsidRPr="201F040E">
        <w:rPr>
          <w:rStyle w:val="CommentReference"/>
        </w:rPr>
        <w:t xml:space="preserve"> </w:t>
      </w:r>
      <w:r w:rsidRPr="201F040E">
        <w:rPr>
          <w:i/>
          <w:iCs/>
        </w:rPr>
        <w:t>cr</w:t>
      </w:r>
      <w:r w:rsidR="004444E3" w:rsidRPr="201F040E">
        <w:rPr>
          <w:i/>
          <w:iCs/>
        </w:rPr>
        <w:t xml:space="preserve">ucial role in </w:t>
      </w:r>
      <w:r w:rsidR="00ED2E4E" w:rsidRPr="201F040E">
        <w:rPr>
          <w:i/>
          <w:iCs/>
        </w:rPr>
        <w:t xml:space="preserve">enabling </w:t>
      </w:r>
      <w:r w:rsidR="00371B60">
        <w:rPr>
          <w:i/>
          <w:iCs/>
        </w:rPr>
        <w:t xml:space="preserve">a sustainable </w:t>
      </w:r>
      <w:r w:rsidR="00D57B42" w:rsidRPr="201F040E">
        <w:rPr>
          <w:i/>
          <w:iCs/>
        </w:rPr>
        <w:t xml:space="preserve">global </w:t>
      </w:r>
      <w:r w:rsidR="00A25959" w:rsidRPr="201F040E">
        <w:rPr>
          <w:i/>
          <w:iCs/>
        </w:rPr>
        <w:t>energy transition and digit</w:t>
      </w:r>
      <w:r w:rsidR="00A626D8" w:rsidRPr="201F040E">
        <w:rPr>
          <w:i/>
          <w:iCs/>
        </w:rPr>
        <w:t>alisa</w:t>
      </w:r>
      <w:r w:rsidR="00A25959" w:rsidRPr="201F040E">
        <w:rPr>
          <w:i/>
          <w:iCs/>
        </w:rPr>
        <w:t xml:space="preserve">tion </w:t>
      </w:r>
      <w:r w:rsidR="005A2545" w:rsidRPr="201F040E">
        <w:rPr>
          <w:i/>
          <w:iCs/>
        </w:rPr>
        <w:t xml:space="preserve">over the next decade </w:t>
      </w:r>
      <w:r w:rsidR="00A25959" w:rsidRPr="201F040E">
        <w:rPr>
          <w:i/>
          <w:iCs/>
        </w:rPr>
        <w:t xml:space="preserve">according to the findings of TIN2030, ITA’s </w:t>
      </w:r>
      <w:r w:rsidR="00182BB1" w:rsidRPr="201F040E">
        <w:rPr>
          <w:i/>
          <w:iCs/>
        </w:rPr>
        <w:t xml:space="preserve">new </w:t>
      </w:r>
      <w:r w:rsidR="001E3555" w:rsidRPr="201F040E">
        <w:rPr>
          <w:i/>
          <w:iCs/>
        </w:rPr>
        <w:t xml:space="preserve">strategic </w:t>
      </w:r>
      <w:r w:rsidR="00A25959" w:rsidRPr="201F040E">
        <w:rPr>
          <w:i/>
          <w:iCs/>
        </w:rPr>
        <w:t>report on the sector.</w:t>
      </w:r>
    </w:p>
    <w:p w14:paraId="275EB9EF" w14:textId="77777777" w:rsidR="00DF2399" w:rsidRDefault="00DF2399" w:rsidP="00A25959">
      <w:pPr>
        <w:spacing w:after="0" w:line="240" w:lineRule="auto"/>
      </w:pPr>
    </w:p>
    <w:p w14:paraId="69641894" w14:textId="31AC6B4E" w:rsidR="00A25959" w:rsidRPr="00B227C2" w:rsidRDefault="00A25959" w:rsidP="00A25959">
      <w:pPr>
        <w:spacing w:after="0" w:line="240" w:lineRule="auto"/>
      </w:pPr>
      <w:r>
        <w:t>In a first of its kind for the sector, the International Tin Association (ITA) has launched its strategic report – TIN2030: A Vision for Tin. Th</w:t>
      </w:r>
      <w:r w:rsidR="00B057F1">
        <w:t>is</w:t>
      </w:r>
      <w:r>
        <w:t xml:space="preserve"> </w:t>
      </w:r>
      <w:r w:rsidR="00465420">
        <w:t>thought-leading</w:t>
      </w:r>
      <w:r>
        <w:t xml:space="preserve"> </w:t>
      </w:r>
      <w:r w:rsidR="00B057F1">
        <w:t xml:space="preserve">initiative </w:t>
      </w:r>
      <w:r>
        <w:t xml:space="preserve">has been compiled in collaboration with a broad range of stakeholders from across the sector. Identifying both </w:t>
      </w:r>
      <w:r w:rsidR="00BC2279">
        <w:t xml:space="preserve">opportunities and </w:t>
      </w:r>
      <w:r>
        <w:t>challenges, it highlights the cr</w:t>
      </w:r>
      <w:r w:rsidR="00B057F1">
        <w:t>ucial role</w:t>
      </w:r>
      <w:r>
        <w:t xml:space="preserve"> of tin as a resource to enable the </w:t>
      </w:r>
      <w:r w:rsidR="00B057F1">
        <w:t xml:space="preserve">global </w:t>
      </w:r>
      <w:r>
        <w:t>energy transition and digitalisatio</w:t>
      </w:r>
      <w:r w:rsidR="00341A94">
        <w:t xml:space="preserve">n. </w:t>
      </w:r>
      <w:r w:rsidR="0029189E">
        <w:t xml:space="preserve">There will </w:t>
      </w:r>
      <w:r w:rsidR="00547CEB">
        <w:t xml:space="preserve">be new </w:t>
      </w:r>
      <w:r w:rsidR="00C43E75">
        <w:t xml:space="preserve">opportunities to work together </w:t>
      </w:r>
      <w:r w:rsidR="000A4D88">
        <w:t>on ESG issues</w:t>
      </w:r>
      <w:r w:rsidR="00CD7B80">
        <w:t xml:space="preserve"> to underpin</w:t>
      </w:r>
      <w:r w:rsidR="00D612DE">
        <w:t xml:space="preserve"> supply.</w:t>
      </w:r>
      <w:r w:rsidR="00E34A73" w:rsidRPr="00B227C2">
        <w:t xml:space="preserve"> </w:t>
      </w:r>
    </w:p>
    <w:p w14:paraId="400FE18C" w14:textId="77777777" w:rsidR="00A25959" w:rsidRPr="00B227C2" w:rsidRDefault="00A25959" w:rsidP="00A25959">
      <w:pPr>
        <w:spacing w:after="0" w:line="240" w:lineRule="auto"/>
        <w:rPr>
          <w:b/>
          <w:bCs/>
        </w:rPr>
      </w:pPr>
    </w:p>
    <w:p w14:paraId="3C4C9465" w14:textId="2BEC1CEC" w:rsidR="00A25959" w:rsidRPr="00B227C2" w:rsidRDefault="00A25959" w:rsidP="00A25959">
      <w:pPr>
        <w:spacing w:after="0" w:line="240" w:lineRule="auto"/>
      </w:pPr>
      <w:r>
        <w:t>“Looking into the next decade, the tin industry faces dramatic new market dynamics</w:t>
      </w:r>
      <w:r w:rsidR="00D441BE">
        <w:t xml:space="preserve"> and ESG demands</w:t>
      </w:r>
      <w:r>
        <w:t>. It is important for us in the sector to understand what lies ahead so we can take advantage of the unprecedented opportunities and challenges”, said Helen Prins, CEO of ITA. “We foresee that the next decade will see a wakeup to tin with a new wave of</w:t>
      </w:r>
      <w:r w:rsidR="00EE1959">
        <w:t xml:space="preserve"> effort</w:t>
      </w:r>
      <w:r w:rsidR="00CD355E">
        <w:t>s</w:t>
      </w:r>
      <w:r>
        <w:t xml:space="preserve"> to secure a sustainably sourced supply.”</w:t>
      </w:r>
    </w:p>
    <w:p w14:paraId="60E5CD0B" w14:textId="77777777" w:rsidR="00A25959" w:rsidRPr="00B227C2" w:rsidRDefault="00A25959" w:rsidP="00A25959">
      <w:pPr>
        <w:spacing w:after="0" w:line="240" w:lineRule="auto"/>
      </w:pPr>
    </w:p>
    <w:p w14:paraId="46C43365" w14:textId="67B33A87" w:rsidR="00A25959" w:rsidRDefault="00A25959" w:rsidP="008B6F69">
      <w:pPr>
        <w:spacing w:after="0" w:line="240" w:lineRule="auto"/>
      </w:pPr>
      <w:r>
        <w:t xml:space="preserve">The report highlights the impact of global changes on the sector. Changes such as rising geopolitical tensions, climate change urgency and macroeconomic shocks. According to the ITA research, this will lead to increased competition for vital resources including tin. </w:t>
      </w:r>
      <w:r w:rsidR="00D70033">
        <w:t>T</w:t>
      </w:r>
      <w:r w:rsidR="008B6F69">
        <w:t>in supply chains will need to adapt rapidly to meet these challenges while also working together to manage increased ESG expectations and demonstrate how the tin sector is building a better future for everyone.</w:t>
      </w:r>
    </w:p>
    <w:p w14:paraId="5ECA0CF7" w14:textId="77777777" w:rsidR="008B6F69" w:rsidRPr="00B227C2" w:rsidRDefault="008B6F69" w:rsidP="008B6F69">
      <w:pPr>
        <w:spacing w:after="0" w:line="240" w:lineRule="auto"/>
      </w:pPr>
    </w:p>
    <w:p w14:paraId="6FF4901E" w14:textId="28AF9F5E" w:rsidR="00A25959" w:rsidRDefault="00A25959" w:rsidP="00A25959">
      <w:pPr>
        <w:spacing w:after="0" w:line="240" w:lineRule="auto"/>
      </w:pPr>
      <w:r w:rsidRPr="00B227C2">
        <w:t xml:space="preserve">The report highlights the </w:t>
      </w:r>
      <w:r w:rsidR="002536F6">
        <w:t>importance</w:t>
      </w:r>
      <w:r w:rsidRPr="00B227C2">
        <w:t xml:space="preserve"> of tin </w:t>
      </w:r>
      <w:r w:rsidR="00D70033">
        <w:t xml:space="preserve">to everyday life </w:t>
      </w:r>
      <w:r w:rsidR="0006447B">
        <w:t xml:space="preserve">and its </w:t>
      </w:r>
      <w:r w:rsidR="00C518BA">
        <w:t xml:space="preserve">growing role as </w:t>
      </w:r>
      <w:r w:rsidRPr="00B227C2">
        <w:t>a</w:t>
      </w:r>
      <w:r w:rsidR="003C1F52">
        <w:t xml:space="preserve">n </w:t>
      </w:r>
      <w:r w:rsidR="00B3597B">
        <w:t xml:space="preserve">essential </w:t>
      </w:r>
      <w:r w:rsidRPr="00B227C2">
        <w:t>enabler for the energy transition and digita</w:t>
      </w:r>
      <w:r w:rsidR="00773588">
        <w:t>lisa</w:t>
      </w:r>
      <w:r w:rsidRPr="00B227C2">
        <w:t xml:space="preserve">tion. As the glue that holds together </w:t>
      </w:r>
      <w:r>
        <w:t xml:space="preserve">almost all </w:t>
      </w:r>
      <w:r w:rsidRPr="00B227C2">
        <w:t>electronic and electrical infrastructure</w:t>
      </w:r>
      <w:r>
        <w:t>, its significance will increase</w:t>
      </w:r>
      <w:r w:rsidRPr="00B227C2">
        <w:t>. Another strong indication that the demand for tin will surge.</w:t>
      </w:r>
      <w:r w:rsidR="00736DCF">
        <w:t xml:space="preserve"> I</w:t>
      </w:r>
      <w:r w:rsidR="003E1D17">
        <w:t>TA</w:t>
      </w:r>
      <w:r w:rsidR="00736DCF">
        <w:t xml:space="preserve"> estimates that $1.4 billion is needed to deliver 50,000 tpa more tin by 2030.</w:t>
      </w:r>
    </w:p>
    <w:p w14:paraId="5F79142F" w14:textId="77777777" w:rsidR="004546B2" w:rsidRDefault="004546B2" w:rsidP="00A25959">
      <w:pPr>
        <w:spacing w:after="0" w:line="240" w:lineRule="auto"/>
      </w:pPr>
    </w:p>
    <w:p w14:paraId="2DD3CB20" w14:textId="220A2A10" w:rsidR="004546B2" w:rsidRPr="00B227C2" w:rsidRDefault="00390245" w:rsidP="00A25959">
      <w:pPr>
        <w:spacing w:after="0" w:line="240" w:lineRule="auto"/>
      </w:pPr>
      <w:r>
        <w:t xml:space="preserve">Better communication and collaboration </w:t>
      </w:r>
      <w:r w:rsidR="005729E7">
        <w:t xml:space="preserve">on ESG </w:t>
      </w:r>
      <w:r w:rsidR="001F5BDB">
        <w:t>will be needed</w:t>
      </w:r>
      <w:r w:rsidR="002E0CBF">
        <w:t xml:space="preserve"> to </w:t>
      </w:r>
      <w:r w:rsidR="003B5AB1">
        <w:t xml:space="preserve">develop a holistic understanding </w:t>
      </w:r>
      <w:r w:rsidR="00C66521">
        <w:t xml:space="preserve">of risks </w:t>
      </w:r>
      <w:r w:rsidR="009E52E7">
        <w:t xml:space="preserve">and </w:t>
      </w:r>
      <w:r w:rsidR="00BC63B8">
        <w:t>meaningful standards</w:t>
      </w:r>
      <w:r w:rsidR="00FA7784">
        <w:t xml:space="preserve">. </w:t>
      </w:r>
      <w:r w:rsidR="008D342B">
        <w:t>I</w:t>
      </w:r>
      <w:r w:rsidR="00262B7E">
        <w:t>ncreased e</w:t>
      </w:r>
      <w:r w:rsidR="00675330">
        <w:t xml:space="preserve">ngagement with ASM </w:t>
      </w:r>
      <w:r w:rsidR="00262B7E">
        <w:t xml:space="preserve">will </w:t>
      </w:r>
      <w:r w:rsidR="00E520FC">
        <w:t xml:space="preserve">increase business </w:t>
      </w:r>
      <w:r w:rsidR="00DB4326">
        <w:t xml:space="preserve">opportunities and rewards. </w:t>
      </w:r>
      <w:r w:rsidR="00456EDF">
        <w:t xml:space="preserve">The market will differentiate </w:t>
      </w:r>
      <w:r w:rsidR="002E493F">
        <w:t xml:space="preserve">companies who strive beyond </w:t>
      </w:r>
      <w:r w:rsidR="009B4F5C">
        <w:t>minimum requirements</w:t>
      </w:r>
      <w:r w:rsidR="00835BB3">
        <w:t>, including those achieving UN 2030 SDG’s.</w:t>
      </w:r>
      <w:r w:rsidR="001F5BDB">
        <w:t xml:space="preserve"> </w:t>
      </w:r>
    </w:p>
    <w:p w14:paraId="1449B45B" w14:textId="77777777" w:rsidR="00A25959" w:rsidRPr="00B227C2" w:rsidRDefault="00A25959" w:rsidP="00A25959">
      <w:pPr>
        <w:spacing w:after="0" w:line="240" w:lineRule="auto"/>
      </w:pPr>
    </w:p>
    <w:p w14:paraId="6A98B86F" w14:textId="379D51A5" w:rsidR="00A25959" w:rsidRPr="00B227C2" w:rsidRDefault="00A25959" w:rsidP="00A25959">
      <w:pPr>
        <w:spacing w:after="0" w:line="240" w:lineRule="auto"/>
        <w:rPr>
          <w:rFonts w:ascii="Calibri" w:eastAsia="Calibri" w:hAnsi="Calibri" w:cs="Calibri"/>
        </w:rPr>
      </w:pPr>
      <w:r w:rsidRPr="00B227C2">
        <w:t xml:space="preserve">TIN2030 represents a landmark effort in terms of bringing the industry together to think about the future of the sector. </w:t>
      </w:r>
      <w:r>
        <w:t xml:space="preserve">A pioneering effort led by ITA in its </w:t>
      </w:r>
      <w:r w:rsidRPr="00275289">
        <w:t xml:space="preserve">unique position </w:t>
      </w:r>
      <w:r>
        <w:t xml:space="preserve">at the </w:t>
      </w:r>
      <w:r w:rsidRPr="00275289">
        <w:t xml:space="preserve">heart of the </w:t>
      </w:r>
      <w:r>
        <w:t xml:space="preserve">industry. Through this </w:t>
      </w:r>
      <w:r w:rsidRPr="00B227C2">
        <w:t>holistic approach</w:t>
      </w:r>
      <w:r>
        <w:t>,</w:t>
      </w:r>
      <w:r w:rsidRPr="00B227C2">
        <w:t xml:space="preserve"> </w:t>
      </w:r>
      <w:r>
        <w:t xml:space="preserve">ITA has </w:t>
      </w:r>
      <w:r w:rsidRPr="00B227C2">
        <w:t xml:space="preserve">been able to integrate perspectives from across the sector to </w:t>
      </w:r>
      <w:r>
        <w:t xml:space="preserve">best </w:t>
      </w:r>
      <w:r w:rsidRPr="00B227C2">
        <w:t xml:space="preserve">understand what the future is likely to hold for </w:t>
      </w:r>
      <w:r>
        <w:t>this vital metal</w:t>
      </w:r>
      <w:r w:rsidR="0025104C">
        <w:t>.</w:t>
      </w:r>
    </w:p>
    <w:p w14:paraId="23EA32F8" w14:textId="0FC9D9C0" w:rsidR="00176ACB" w:rsidRDefault="00176ACB" w:rsidP="007337AD">
      <w:pPr>
        <w:spacing w:after="0" w:line="240" w:lineRule="auto"/>
        <w:rPr>
          <w:rFonts w:eastAsia="Times New Roman"/>
        </w:rPr>
      </w:pPr>
    </w:p>
    <w:p w14:paraId="7FD0ED5C" w14:textId="224492F0" w:rsidR="003060CE" w:rsidRPr="003060CE" w:rsidRDefault="003060CE" w:rsidP="003060CE">
      <w:r>
        <w:t xml:space="preserve">More information on tin use is available on the ITA website: </w:t>
      </w:r>
      <w:hyperlink r:id="rId9" w:history="1">
        <w:r w:rsidRPr="000969CF">
          <w:rPr>
            <w:rStyle w:val="Hyperlink"/>
          </w:rPr>
          <w:t>www.internationaltin.org</w:t>
        </w:r>
      </w:hyperlink>
      <w:r>
        <w:t xml:space="preserve"> </w:t>
      </w:r>
    </w:p>
    <w:p w14:paraId="0D2EDB6F" w14:textId="77777777" w:rsidR="003060CE" w:rsidRPr="00081B0C" w:rsidRDefault="003060CE" w:rsidP="003060CE">
      <w:pPr>
        <w:spacing w:after="0" w:line="360" w:lineRule="auto"/>
        <w:rPr>
          <w:rFonts w:ascii="Arial" w:eastAsia="Times New Roman" w:hAnsi="Arial" w:cs="Arial"/>
          <w:b/>
          <w:bCs/>
          <w:sz w:val="36"/>
          <w:szCs w:val="20"/>
          <w:lang w:eastAsia="en-GB"/>
        </w:rPr>
      </w:pPr>
      <w:r w:rsidRPr="00EE263C">
        <w:rPr>
          <w:rFonts w:ascii="Arial" w:eastAsia="Times New Roman" w:hAnsi="Arial" w:cs="Arial"/>
          <w:b/>
          <w:bCs/>
          <w:sz w:val="36"/>
          <w:szCs w:val="20"/>
          <w:lang w:eastAsia="en-GB"/>
        </w:rPr>
        <w:t>-ENDS-</w:t>
      </w:r>
    </w:p>
    <w:p w14:paraId="6F0B2F18" w14:textId="1B1A8CC1" w:rsidR="00B62CC2" w:rsidRPr="004A66A4" w:rsidRDefault="00B62CC2" w:rsidP="0073478D">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2782F114" w14:textId="22C24C4F" w:rsidR="00D032DE" w:rsidRPr="004A66A4" w:rsidRDefault="00D032DE" w:rsidP="0073478D">
      <w:pPr>
        <w:spacing w:after="0" w:line="240" w:lineRule="auto"/>
        <w:rPr>
          <w:b/>
          <w:bCs/>
          <w:sz w:val="24"/>
          <w:szCs w:val="24"/>
        </w:rPr>
      </w:pPr>
      <w:r w:rsidRPr="004A66A4">
        <w:rPr>
          <w:b/>
          <w:bCs/>
          <w:sz w:val="24"/>
          <w:szCs w:val="24"/>
        </w:rPr>
        <w:lastRenderedPageBreak/>
        <w:t>Notes to editors</w:t>
      </w:r>
    </w:p>
    <w:p w14:paraId="12F6364A" w14:textId="4B347127" w:rsidR="00D032DE" w:rsidRDefault="00D032DE" w:rsidP="0073478D">
      <w:pPr>
        <w:spacing w:after="0" w:line="240" w:lineRule="auto"/>
      </w:pPr>
    </w:p>
    <w:p w14:paraId="4C13C7EC" w14:textId="77777777" w:rsidR="00C54026" w:rsidRPr="000D2C5E" w:rsidRDefault="00C54026" w:rsidP="00C54026">
      <w:pPr>
        <w:spacing w:after="0" w:line="240" w:lineRule="auto"/>
        <w:rPr>
          <w:rFonts w:eastAsia="Times New Roman" w:cs="Arial"/>
          <w:b/>
          <w:lang w:eastAsia="en-GB"/>
        </w:rPr>
      </w:pPr>
      <w:r w:rsidRPr="000D2C5E">
        <w:rPr>
          <w:rFonts w:eastAsia="Times New Roman" w:cs="Arial"/>
          <w:b/>
          <w:lang w:eastAsia="en-GB"/>
        </w:rPr>
        <w:t>About International Tin Association:</w:t>
      </w:r>
    </w:p>
    <w:p w14:paraId="2DE97BE8" w14:textId="77777777" w:rsidR="00C54026" w:rsidRDefault="00C54026" w:rsidP="00C54026">
      <w:pPr>
        <w:spacing w:after="0" w:line="240" w:lineRule="auto"/>
        <w:rPr>
          <w:rFonts w:eastAsia="Times New Roman" w:cs="Arial"/>
          <w:lang w:eastAsia="en-GB"/>
        </w:rPr>
      </w:pPr>
      <w:r w:rsidRPr="000D2C5E">
        <w:rPr>
          <w:rFonts w:eastAsia="Times New Roman" w:cs="Arial"/>
          <w:lang w:eastAsia="en-GB"/>
        </w:rPr>
        <w:t xml:space="preserve">The International Tin Association is the world's foremost authority on tin with over </w:t>
      </w:r>
      <w:r>
        <w:rPr>
          <w:rFonts w:eastAsia="Times New Roman" w:cs="Arial"/>
          <w:lang w:eastAsia="en-GB"/>
        </w:rPr>
        <w:t>9</w:t>
      </w:r>
      <w:r w:rsidRPr="000D2C5E">
        <w:rPr>
          <w:rFonts w:eastAsia="Times New Roman" w:cs="Arial"/>
          <w:lang w:eastAsia="en-GB"/>
        </w:rPr>
        <w:t xml:space="preserve">0 years’ experience in tin related technologies. </w:t>
      </w:r>
    </w:p>
    <w:p w14:paraId="71433E95" w14:textId="77777777" w:rsidR="00C54026" w:rsidRDefault="00C54026" w:rsidP="00C54026">
      <w:pPr>
        <w:spacing w:after="0" w:line="240" w:lineRule="auto"/>
        <w:rPr>
          <w:rFonts w:eastAsia="Times New Roman" w:cs="Arial"/>
          <w:lang w:eastAsia="en-GB"/>
        </w:rPr>
      </w:pPr>
    </w:p>
    <w:p w14:paraId="3BC4C906" w14:textId="6386CED5" w:rsidR="00C54026" w:rsidRDefault="00C54026" w:rsidP="00C54026">
      <w:pPr>
        <w:spacing w:after="0" w:line="240" w:lineRule="auto"/>
        <w:rPr>
          <w:rFonts w:eastAsia="Times New Roman" w:cs="Arial"/>
          <w:lang w:eastAsia="en-GB"/>
        </w:rPr>
      </w:pPr>
      <w:r w:rsidRPr="00E84AC6">
        <w:rPr>
          <w:rFonts w:eastAsia="Times New Roman" w:cs="Arial"/>
          <w:lang w:eastAsia="en-GB"/>
        </w:rPr>
        <w:t xml:space="preserve">Representing more than two thirds of world tin production, ITA aims to bring leading companies together to give authority, </w:t>
      </w:r>
      <w:r w:rsidR="00131B11" w:rsidRPr="00E84AC6">
        <w:rPr>
          <w:rFonts w:eastAsia="Times New Roman" w:cs="Arial"/>
          <w:lang w:eastAsia="en-GB"/>
        </w:rPr>
        <w:t>leadership,</w:t>
      </w:r>
      <w:r w:rsidRPr="00E84AC6">
        <w:rPr>
          <w:rFonts w:eastAsia="Times New Roman" w:cs="Arial"/>
          <w:lang w:eastAsia="en-GB"/>
        </w:rPr>
        <w:t xml:space="preserve"> and voice to its members. Its expert analysis of tin markets and technologies enables the industry to confidently invest in expanding supply. At the same time sustainability has been at the forefront of the organisation’s vision for more than a decade, coordinating tin supply chain efforts to create and implement pioneering ESG operational and reporting standards.</w:t>
      </w:r>
    </w:p>
    <w:p w14:paraId="0760BE6E" w14:textId="77777777" w:rsidR="00C54026" w:rsidRDefault="00C54026" w:rsidP="00C54026">
      <w:pPr>
        <w:spacing w:after="0" w:line="240" w:lineRule="auto"/>
        <w:rPr>
          <w:rFonts w:eastAsia="Times New Roman" w:cs="Arial"/>
          <w:lang w:eastAsia="en-GB"/>
        </w:rPr>
      </w:pPr>
    </w:p>
    <w:p w14:paraId="522ED829" w14:textId="7A69C32B" w:rsidR="00C54026" w:rsidRPr="005E6883" w:rsidRDefault="00C54026" w:rsidP="00C54026">
      <w:pPr>
        <w:spacing w:after="0" w:line="360" w:lineRule="auto"/>
        <w:rPr>
          <w:rFonts w:eastAsia="Times New Roman" w:cs="Arial"/>
          <w:b/>
          <w:lang w:eastAsia="en-GB"/>
        </w:rPr>
      </w:pPr>
      <w:r w:rsidRPr="005E6883">
        <w:rPr>
          <w:rFonts w:eastAsia="Times New Roman" w:cs="Arial"/>
          <w:b/>
          <w:lang w:eastAsia="en-GB"/>
        </w:rPr>
        <w:t>For further enquiries please contact:</w:t>
      </w:r>
    </w:p>
    <w:p w14:paraId="6A2788CA" w14:textId="77777777" w:rsidR="00C54026" w:rsidRPr="005E6883" w:rsidRDefault="00C54026" w:rsidP="00C54026">
      <w:pPr>
        <w:spacing w:after="0" w:line="240" w:lineRule="auto"/>
        <w:rPr>
          <w:rFonts w:eastAsia="Times New Roman" w:cs="Arial"/>
          <w:b/>
          <w:lang w:eastAsia="en-GB"/>
        </w:rPr>
      </w:pPr>
    </w:p>
    <w:tbl>
      <w:tblPr>
        <w:tblpPr w:leftFromText="180" w:rightFromText="180" w:vertAnchor="text" w:horzAnchor="margin" w:tblpY="-58"/>
        <w:tblW w:w="0" w:type="auto"/>
        <w:tblLook w:val="04A0" w:firstRow="1" w:lastRow="0" w:firstColumn="1" w:lastColumn="0" w:noHBand="0" w:noVBand="1"/>
      </w:tblPr>
      <w:tblGrid>
        <w:gridCol w:w="4576"/>
        <w:gridCol w:w="4450"/>
      </w:tblGrid>
      <w:tr w:rsidR="00C54026" w:rsidRPr="005649E6" w14:paraId="6092B94B" w14:textId="77777777">
        <w:tc>
          <w:tcPr>
            <w:tcW w:w="4621" w:type="dxa"/>
            <w:shd w:val="clear" w:color="auto" w:fill="auto"/>
          </w:tcPr>
          <w:p w14:paraId="09B79CCE" w14:textId="77777777" w:rsidR="00C54026" w:rsidRPr="005649E6" w:rsidRDefault="00C54026">
            <w:pPr>
              <w:spacing w:after="0" w:line="240" w:lineRule="auto"/>
              <w:rPr>
                <w:rFonts w:eastAsia="Times New Roman" w:cs="Arial"/>
                <w:lang w:eastAsia="en-GB"/>
              </w:rPr>
            </w:pPr>
            <w:r w:rsidRPr="005649E6">
              <w:rPr>
                <w:rFonts w:eastAsia="Times New Roman" w:cs="Arial"/>
                <w:lang w:eastAsia="en-GB"/>
              </w:rPr>
              <w:t>Dr Jeremy Pearce</w:t>
            </w:r>
          </w:p>
          <w:p w14:paraId="64074222" w14:textId="77777777" w:rsidR="00C54026" w:rsidRPr="005649E6" w:rsidRDefault="00C54026">
            <w:pPr>
              <w:spacing w:after="0" w:line="240" w:lineRule="auto"/>
              <w:rPr>
                <w:rFonts w:eastAsia="Times New Roman" w:cs="Arial"/>
                <w:lang w:eastAsia="en-GB"/>
              </w:rPr>
            </w:pPr>
            <w:r>
              <w:rPr>
                <w:rFonts w:eastAsia="Times New Roman" w:cs="Arial"/>
                <w:lang w:eastAsia="en-GB"/>
              </w:rPr>
              <w:t>Market Intelligence</w:t>
            </w:r>
            <w:r w:rsidRPr="005649E6">
              <w:rPr>
                <w:rFonts w:eastAsia="Times New Roman" w:cs="Arial"/>
                <w:lang w:eastAsia="en-GB"/>
              </w:rPr>
              <w:t xml:space="preserve"> &amp; Communications</w:t>
            </w:r>
          </w:p>
          <w:p w14:paraId="0580EE25" w14:textId="77777777" w:rsidR="00C54026" w:rsidRDefault="00C54026">
            <w:pPr>
              <w:spacing w:after="0" w:line="240" w:lineRule="auto"/>
              <w:rPr>
                <w:rFonts w:eastAsia="Times New Roman" w:cs="Arial"/>
                <w:lang w:eastAsia="en-GB"/>
              </w:rPr>
            </w:pPr>
            <w:r w:rsidRPr="005649E6">
              <w:rPr>
                <w:rFonts w:eastAsia="Times New Roman" w:cs="Arial"/>
                <w:lang w:eastAsia="en-GB"/>
              </w:rPr>
              <w:t>Tel: +44 (0) 1727 871311</w:t>
            </w:r>
          </w:p>
          <w:p w14:paraId="3E3CA21C" w14:textId="77777777" w:rsidR="00C54026" w:rsidRPr="005649E6" w:rsidRDefault="00C54026">
            <w:pPr>
              <w:spacing w:after="0" w:line="240" w:lineRule="auto"/>
              <w:rPr>
                <w:rFonts w:eastAsia="Times New Roman" w:cs="Arial"/>
                <w:lang w:eastAsia="en-GB"/>
              </w:rPr>
            </w:pPr>
            <w:r>
              <w:rPr>
                <w:rFonts w:eastAsia="Times New Roman" w:cs="Arial"/>
                <w:lang w:eastAsia="en-GB"/>
              </w:rPr>
              <w:t>Mob: +44 (0)79 09890630</w:t>
            </w:r>
          </w:p>
          <w:p w14:paraId="3723ED81" w14:textId="77777777" w:rsidR="00C54026" w:rsidRPr="005649E6" w:rsidRDefault="00C54026">
            <w:pPr>
              <w:spacing w:after="0" w:line="240" w:lineRule="auto"/>
              <w:rPr>
                <w:rFonts w:eastAsia="Times New Roman" w:cs="Arial"/>
                <w:lang w:eastAsia="en-GB"/>
              </w:rPr>
            </w:pPr>
            <w:r w:rsidRPr="005649E6">
              <w:rPr>
                <w:rFonts w:eastAsia="Times New Roman" w:cs="Arial"/>
                <w:lang w:eastAsia="en-GB"/>
              </w:rPr>
              <w:t xml:space="preserve">Email: </w:t>
            </w:r>
            <w:hyperlink r:id="rId10" w:history="1">
              <w:r w:rsidRPr="00780C80">
                <w:rPr>
                  <w:rStyle w:val="Hyperlink"/>
                  <w:rFonts w:eastAsia="Times New Roman" w:cs="Arial"/>
                  <w:lang w:eastAsia="en-GB"/>
                </w:rPr>
                <w:t>jeremy.pearce@internationaltin.org</w:t>
              </w:r>
            </w:hyperlink>
          </w:p>
        </w:tc>
        <w:tc>
          <w:tcPr>
            <w:tcW w:w="4621" w:type="dxa"/>
            <w:shd w:val="clear" w:color="auto" w:fill="auto"/>
          </w:tcPr>
          <w:p w14:paraId="785B45D3" w14:textId="77777777" w:rsidR="00C54026" w:rsidRPr="005649E6" w:rsidRDefault="00C54026">
            <w:pPr>
              <w:spacing w:after="0" w:line="240" w:lineRule="auto"/>
              <w:rPr>
                <w:rFonts w:eastAsia="Times New Roman" w:cs="Arial"/>
                <w:lang w:eastAsia="en-GB"/>
              </w:rPr>
            </w:pPr>
          </w:p>
        </w:tc>
      </w:tr>
    </w:tbl>
    <w:p w14:paraId="4B7E9534" w14:textId="77777777" w:rsidR="00C54026" w:rsidRPr="00C54026" w:rsidRDefault="00C54026" w:rsidP="00F169E0">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7069068" w14:textId="61DEBCC5" w:rsidR="00AB6F17" w:rsidRDefault="00AB6F17" w:rsidP="00F169E0">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38FCCD59" w14:textId="77777777" w:rsidR="00AB6F17" w:rsidRPr="004A66A4" w:rsidRDefault="00AB6F17" w:rsidP="00F169E0">
      <w:pPr>
        <w:pStyle w:val="NormalWeb"/>
        <w:shd w:val="clear" w:color="auto" w:fill="FFFFFF"/>
        <w:spacing w:before="0" w:beforeAutospacing="0" w:after="0" w:afterAutospacing="0"/>
        <w:textAlignment w:val="baseline"/>
        <w:rPr>
          <w:rFonts w:ascii="Calibri" w:hAnsi="Calibri" w:cs="Calibri"/>
          <w:shd w:val="clear" w:color="auto" w:fill="FFFFFF"/>
        </w:rPr>
      </w:pPr>
    </w:p>
    <w:sectPr w:rsidR="00AB6F17" w:rsidRPr="004A6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0E65"/>
    <w:multiLevelType w:val="hybridMultilevel"/>
    <w:tmpl w:val="C1F4660C"/>
    <w:lvl w:ilvl="0" w:tplc="F374505E">
      <w:start w:val="1"/>
      <w:numFmt w:val="bullet"/>
      <w:lvlText w:val=""/>
      <w:lvlJc w:val="left"/>
      <w:pPr>
        <w:ind w:left="360" w:hanging="360"/>
      </w:pPr>
      <w:rPr>
        <w:rFonts w:ascii="Wingdings" w:hAnsi="Wingdings" w:hint="default"/>
        <w:color w:val="920000"/>
        <w:sz w:val="20"/>
      </w:rPr>
    </w:lvl>
    <w:lvl w:ilvl="1" w:tplc="FFFFFFFF">
      <w:start w:val="1"/>
      <w:numFmt w:val="bullet"/>
      <w:lvlText w:val=""/>
      <w:lvlJc w:val="left"/>
      <w:pPr>
        <w:ind w:left="360" w:hanging="360"/>
      </w:pPr>
      <w:rPr>
        <w:rFonts w:ascii="Wingdings" w:hAnsi="Wingdings" w:hint="default"/>
        <w:color w:val="920000"/>
        <w:sz w:val="2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8263065"/>
    <w:multiLevelType w:val="multilevel"/>
    <w:tmpl w:val="A5D0A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F56AAF"/>
    <w:multiLevelType w:val="hybridMultilevel"/>
    <w:tmpl w:val="F3CA471E"/>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7F3D1700"/>
    <w:multiLevelType w:val="hybridMultilevel"/>
    <w:tmpl w:val="7668EAEA"/>
    <w:lvl w:ilvl="0" w:tplc="FFFFFFFF">
      <w:start w:val="1"/>
      <w:numFmt w:val="decimal"/>
      <w:lvlText w:val="%1."/>
      <w:lvlJc w:val="left"/>
      <w:pPr>
        <w:ind w:left="360" w:hanging="360"/>
      </w:pPr>
      <w:rPr>
        <w:rFonts w:hint="default"/>
      </w:rPr>
    </w:lvl>
    <w:lvl w:ilvl="1" w:tplc="F374505E">
      <w:start w:val="1"/>
      <w:numFmt w:val="bullet"/>
      <w:lvlText w:val=""/>
      <w:lvlJc w:val="left"/>
      <w:pPr>
        <w:ind w:left="360" w:hanging="360"/>
      </w:pPr>
      <w:rPr>
        <w:rFonts w:ascii="Wingdings" w:hAnsi="Wingdings" w:hint="default"/>
        <w:color w:val="920000"/>
        <w:sz w:val="2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48015328">
    <w:abstractNumId w:val="0"/>
  </w:num>
  <w:num w:numId="2" w16cid:durableId="2146502091">
    <w:abstractNumId w:val="2"/>
  </w:num>
  <w:num w:numId="3" w16cid:durableId="1031342670">
    <w:abstractNumId w:val="3"/>
  </w:num>
  <w:num w:numId="4" w16cid:durableId="864712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69"/>
    <w:rsid w:val="00003365"/>
    <w:rsid w:val="00014198"/>
    <w:rsid w:val="000633CC"/>
    <w:rsid w:val="0006447B"/>
    <w:rsid w:val="00065A7A"/>
    <w:rsid w:val="000A4D88"/>
    <w:rsid w:val="000B3C40"/>
    <w:rsid w:val="000C189C"/>
    <w:rsid w:val="000C73EC"/>
    <w:rsid w:val="00124276"/>
    <w:rsid w:val="00131B11"/>
    <w:rsid w:val="0013397A"/>
    <w:rsid w:val="00151ED4"/>
    <w:rsid w:val="00174570"/>
    <w:rsid w:val="00176ACB"/>
    <w:rsid w:val="00182BB1"/>
    <w:rsid w:val="001E3555"/>
    <w:rsid w:val="001E62D8"/>
    <w:rsid w:val="001F5BDB"/>
    <w:rsid w:val="00224DD3"/>
    <w:rsid w:val="0025104C"/>
    <w:rsid w:val="002536F6"/>
    <w:rsid w:val="00262B7E"/>
    <w:rsid w:val="00266C65"/>
    <w:rsid w:val="00277B1B"/>
    <w:rsid w:val="0029189E"/>
    <w:rsid w:val="002B522F"/>
    <w:rsid w:val="002C749B"/>
    <w:rsid w:val="002E0CBF"/>
    <w:rsid w:val="002E3CC8"/>
    <w:rsid w:val="002E493F"/>
    <w:rsid w:val="002F4D26"/>
    <w:rsid w:val="003060CE"/>
    <w:rsid w:val="00315769"/>
    <w:rsid w:val="00341A94"/>
    <w:rsid w:val="00371B60"/>
    <w:rsid w:val="00390245"/>
    <w:rsid w:val="003B5AB1"/>
    <w:rsid w:val="003C1F52"/>
    <w:rsid w:val="003E1D17"/>
    <w:rsid w:val="003F23FB"/>
    <w:rsid w:val="004444E3"/>
    <w:rsid w:val="00447638"/>
    <w:rsid w:val="004546B2"/>
    <w:rsid w:val="00456EDF"/>
    <w:rsid w:val="00465420"/>
    <w:rsid w:val="004A66A4"/>
    <w:rsid w:val="004D5DE9"/>
    <w:rsid w:val="004F4E20"/>
    <w:rsid w:val="004F5006"/>
    <w:rsid w:val="0052273F"/>
    <w:rsid w:val="00547CEB"/>
    <w:rsid w:val="0055435E"/>
    <w:rsid w:val="005729E7"/>
    <w:rsid w:val="005733A9"/>
    <w:rsid w:val="0057383C"/>
    <w:rsid w:val="005A2545"/>
    <w:rsid w:val="005B6EE1"/>
    <w:rsid w:val="005E204C"/>
    <w:rsid w:val="005E58C3"/>
    <w:rsid w:val="005E6883"/>
    <w:rsid w:val="00664D25"/>
    <w:rsid w:val="00675330"/>
    <w:rsid w:val="00696071"/>
    <w:rsid w:val="006B0ABB"/>
    <w:rsid w:val="006B3E3F"/>
    <w:rsid w:val="006B5101"/>
    <w:rsid w:val="006C7A29"/>
    <w:rsid w:val="00700F6D"/>
    <w:rsid w:val="007337AD"/>
    <w:rsid w:val="0073478D"/>
    <w:rsid w:val="00736A1F"/>
    <w:rsid w:val="00736DCF"/>
    <w:rsid w:val="00737D67"/>
    <w:rsid w:val="00766434"/>
    <w:rsid w:val="00773588"/>
    <w:rsid w:val="00791325"/>
    <w:rsid w:val="007F3727"/>
    <w:rsid w:val="008123D4"/>
    <w:rsid w:val="00826186"/>
    <w:rsid w:val="00827E62"/>
    <w:rsid w:val="00835BB3"/>
    <w:rsid w:val="008459D9"/>
    <w:rsid w:val="008729AC"/>
    <w:rsid w:val="008B6F69"/>
    <w:rsid w:val="008B7B42"/>
    <w:rsid w:val="008D342B"/>
    <w:rsid w:val="008E5BEA"/>
    <w:rsid w:val="008F25FD"/>
    <w:rsid w:val="00956DE7"/>
    <w:rsid w:val="009738D7"/>
    <w:rsid w:val="00987D0D"/>
    <w:rsid w:val="009A7E2F"/>
    <w:rsid w:val="009B44B1"/>
    <w:rsid w:val="009B4F5C"/>
    <w:rsid w:val="009E25BD"/>
    <w:rsid w:val="009E52E7"/>
    <w:rsid w:val="00A0752E"/>
    <w:rsid w:val="00A25959"/>
    <w:rsid w:val="00A626D8"/>
    <w:rsid w:val="00A73AED"/>
    <w:rsid w:val="00AB6F17"/>
    <w:rsid w:val="00AD3959"/>
    <w:rsid w:val="00B057F1"/>
    <w:rsid w:val="00B20FC3"/>
    <w:rsid w:val="00B34266"/>
    <w:rsid w:val="00B3597B"/>
    <w:rsid w:val="00B41766"/>
    <w:rsid w:val="00B62CC2"/>
    <w:rsid w:val="00B86F53"/>
    <w:rsid w:val="00BC2279"/>
    <w:rsid w:val="00BC63B8"/>
    <w:rsid w:val="00BF3DDD"/>
    <w:rsid w:val="00C159CC"/>
    <w:rsid w:val="00C43E75"/>
    <w:rsid w:val="00C518BA"/>
    <w:rsid w:val="00C54026"/>
    <w:rsid w:val="00C5676A"/>
    <w:rsid w:val="00C66521"/>
    <w:rsid w:val="00C7676D"/>
    <w:rsid w:val="00C77DCF"/>
    <w:rsid w:val="00C842A0"/>
    <w:rsid w:val="00C90CBD"/>
    <w:rsid w:val="00C96E2B"/>
    <w:rsid w:val="00CB0862"/>
    <w:rsid w:val="00CD355E"/>
    <w:rsid w:val="00CD7B80"/>
    <w:rsid w:val="00CE1657"/>
    <w:rsid w:val="00CE592A"/>
    <w:rsid w:val="00D032DE"/>
    <w:rsid w:val="00D05F56"/>
    <w:rsid w:val="00D17DB3"/>
    <w:rsid w:val="00D441BE"/>
    <w:rsid w:val="00D536D4"/>
    <w:rsid w:val="00D53EEF"/>
    <w:rsid w:val="00D57B42"/>
    <w:rsid w:val="00D612DE"/>
    <w:rsid w:val="00D70033"/>
    <w:rsid w:val="00D77CB2"/>
    <w:rsid w:val="00DB4326"/>
    <w:rsid w:val="00DC4609"/>
    <w:rsid w:val="00DE6EA2"/>
    <w:rsid w:val="00DF2399"/>
    <w:rsid w:val="00E03EB3"/>
    <w:rsid w:val="00E34A73"/>
    <w:rsid w:val="00E520FC"/>
    <w:rsid w:val="00EA715E"/>
    <w:rsid w:val="00EC3B1C"/>
    <w:rsid w:val="00ED2E4E"/>
    <w:rsid w:val="00EE1959"/>
    <w:rsid w:val="00EE2047"/>
    <w:rsid w:val="00EE547D"/>
    <w:rsid w:val="00F07F0D"/>
    <w:rsid w:val="00F16488"/>
    <w:rsid w:val="00F169E0"/>
    <w:rsid w:val="00F61429"/>
    <w:rsid w:val="00F6376B"/>
    <w:rsid w:val="00F873F0"/>
    <w:rsid w:val="00F97BE3"/>
    <w:rsid w:val="00FA7784"/>
    <w:rsid w:val="00FD1B52"/>
    <w:rsid w:val="00FD5B54"/>
    <w:rsid w:val="00FF45C5"/>
    <w:rsid w:val="0631206D"/>
    <w:rsid w:val="1AD835FE"/>
    <w:rsid w:val="201F040E"/>
    <w:rsid w:val="4EF7FE7A"/>
    <w:rsid w:val="5C6A0613"/>
    <w:rsid w:val="660A76E3"/>
    <w:rsid w:val="73A7A771"/>
    <w:rsid w:val="7D356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AA4F"/>
  <w15:chartTrackingRefBased/>
  <w15:docId w15:val="{54D83EDA-BD03-4E6F-9D0D-2F13DC86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C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32DE"/>
    <w:pPr>
      <w:spacing w:after="200" w:line="276" w:lineRule="auto"/>
      <w:ind w:left="720"/>
      <w:contextualSpacing/>
    </w:pPr>
    <w:rPr>
      <w:rFonts w:eastAsiaTheme="minorEastAsia"/>
      <w:lang w:val="en-US" w:eastAsia="zh-CN"/>
    </w:rPr>
  </w:style>
  <w:style w:type="character" w:styleId="Hyperlink">
    <w:name w:val="Hyperlink"/>
    <w:uiPriority w:val="99"/>
    <w:unhideWhenUsed/>
    <w:rsid w:val="00C54026"/>
    <w:rPr>
      <w:color w:val="0000FF"/>
      <w:u w:val="single"/>
    </w:rPr>
  </w:style>
  <w:style w:type="paragraph" w:customStyle="1" w:styleId="contentpasted0">
    <w:name w:val="contentpasted0"/>
    <w:basedOn w:val="Normal"/>
    <w:rsid w:val="00B41766"/>
    <w:pPr>
      <w:spacing w:after="0" w:line="240" w:lineRule="auto"/>
    </w:pPr>
    <w:rPr>
      <w:rFonts w:ascii="Calibri" w:hAnsi="Calibri" w:cs="Calibri"/>
    </w:rPr>
  </w:style>
  <w:style w:type="character" w:customStyle="1" w:styleId="contentpasted01">
    <w:name w:val="contentpasted01"/>
    <w:basedOn w:val="DefaultParagraphFont"/>
    <w:rsid w:val="00B41766"/>
  </w:style>
  <w:style w:type="character" w:styleId="UnresolvedMention">
    <w:name w:val="Unresolved Mention"/>
    <w:basedOn w:val="DefaultParagraphFont"/>
    <w:uiPriority w:val="99"/>
    <w:semiHidden/>
    <w:unhideWhenUsed/>
    <w:rsid w:val="005E6883"/>
    <w:rPr>
      <w:color w:val="605E5C"/>
      <w:shd w:val="clear" w:color="auto" w:fill="E1DFDD"/>
    </w:rPr>
  </w:style>
  <w:style w:type="paragraph" w:styleId="Revision">
    <w:name w:val="Revision"/>
    <w:hidden/>
    <w:uiPriority w:val="99"/>
    <w:semiHidden/>
    <w:rsid w:val="00C96E2B"/>
    <w:pPr>
      <w:spacing w:after="0" w:line="240" w:lineRule="auto"/>
    </w:pPr>
  </w:style>
  <w:style w:type="character" w:styleId="CommentReference">
    <w:name w:val="annotation reference"/>
    <w:basedOn w:val="DefaultParagraphFont"/>
    <w:uiPriority w:val="99"/>
    <w:semiHidden/>
    <w:unhideWhenUsed/>
    <w:rsid w:val="00C96E2B"/>
    <w:rPr>
      <w:sz w:val="16"/>
      <w:szCs w:val="16"/>
    </w:rPr>
  </w:style>
  <w:style w:type="paragraph" w:styleId="CommentText">
    <w:name w:val="annotation text"/>
    <w:basedOn w:val="Normal"/>
    <w:link w:val="CommentTextChar"/>
    <w:uiPriority w:val="99"/>
    <w:unhideWhenUsed/>
    <w:rsid w:val="00C96E2B"/>
    <w:pPr>
      <w:spacing w:line="240" w:lineRule="auto"/>
    </w:pPr>
    <w:rPr>
      <w:sz w:val="20"/>
      <w:szCs w:val="20"/>
    </w:rPr>
  </w:style>
  <w:style w:type="character" w:customStyle="1" w:styleId="CommentTextChar">
    <w:name w:val="Comment Text Char"/>
    <w:basedOn w:val="DefaultParagraphFont"/>
    <w:link w:val="CommentText"/>
    <w:uiPriority w:val="99"/>
    <w:rsid w:val="00C96E2B"/>
    <w:rPr>
      <w:sz w:val="20"/>
      <w:szCs w:val="20"/>
    </w:rPr>
  </w:style>
  <w:style w:type="paragraph" w:styleId="CommentSubject">
    <w:name w:val="annotation subject"/>
    <w:basedOn w:val="CommentText"/>
    <w:next w:val="CommentText"/>
    <w:link w:val="CommentSubjectChar"/>
    <w:uiPriority w:val="99"/>
    <w:semiHidden/>
    <w:unhideWhenUsed/>
    <w:rsid w:val="00C96E2B"/>
    <w:rPr>
      <w:b/>
      <w:bCs/>
    </w:rPr>
  </w:style>
  <w:style w:type="character" w:customStyle="1" w:styleId="CommentSubjectChar">
    <w:name w:val="Comment Subject Char"/>
    <w:basedOn w:val="CommentTextChar"/>
    <w:link w:val="CommentSubject"/>
    <w:uiPriority w:val="99"/>
    <w:semiHidden/>
    <w:rsid w:val="00C96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1137">
      <w:bodyDiv w:val="1"/>
      <w:marLeft w:val="0"/>
      <w:marRight w:val="0"/>
      <w:marTop w:val="0"/>
      <w:marBottom w:val="0"/>
      <w:divBdr>
        <w:top w:val="none" w:sz="0" w:space="0" w:color="auto"/>
        <w:left w:val="none" w:sz="0" w:space="0" w:color="auto"/>
        <w:bottom w:val="none" w:sz="0" w:space="0" w:color="auto"/>
        <w:right w:val="none" w:sz="0" w:space="0" w:color="auto"/>
      </w:divBdr>
    </w:div>
    <w:div w:id="7428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eremy.pearce@internationaltin.org" TargetMode="External"/><Relationship Id="rId4" Type="http://schemas.openxmlformats.org/officeDocument/2006/relationships/numbering" Target="numbering.xml"/><Relationship Id="rId9" Type="http://schemas.openxmlformats.org/officeDocument/2006/relationships/hyperlink" Target="http://www.international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822e9f-9fe2-4008-a757-e55f67ed62dc">
      <Terms xmlns="http://schemas.microsoft.com/office/infopath/2007/PartnerControls"/>
    </lcf76f155ced4ddcb4097134ff3c332f>
    <TaxCatchAll xmlns="be966821-d2ec-4881-8a2a-50cb754012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69B75513642A4691229BE092F999C4" ma:contentTypeVersion="13" ma:contentTypeDescription="Create a new document." ma:contentTypeScope="" ma:versionID="393b18a839a7bd590c0def12299183e1">
  <xsd:schema xmlns:xsd="http://www.w3.org/2001/XMLSchema" xmlns:xs="http://www.w3.org/2001/XMLSchema" xmlns:p="http://schemas.microsoft.com/office/2006/metadata/properties" xmlns:ns2="9e822e9f-9fe2-4008-a757-e55f67ed62dc" xmlns:ns3="be966821-d2ec-4881-8a2a-50cb75401292" targetNamespace="http://schemas.microsoft.com/office/2006/metadata/properties" ma:root="true" ma:fieldsID="959d0617252a228d50ab1cf381e76653" ns2:_="" ns3:_="">
    <xsd:import namespace="9e822e9f-9fe2-4008-a757-e55f67ed62dc"/>
    <xsd:import namespace="be966821-d2ec-4881-8a2a-50cb75401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22e9f-9fe2-4008-a757-e55f67ed6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a831ea-a418-45be-aee8-4695033987b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66821-d2ec-4881-8a2a-50cb7540129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8807ba-5852-4c39-b230-f05246601f5c}" ma:internalName="TaxCatchAll" ma:showField="CatchAllData" ma:web="be966821-d2ec-4881-8a2a-50cb7540129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274FC-1887-4F1D-AB16-FF6F37A21651}">
  <ds:schemaRefs>
    <ds:schemaRef ds:uri="http://schemas.microsoft.com/sharepoint/v3/contenttype/forms"/>
  </ds:schemaRefs>
</ds:datastoreItem>
</file>

<file path=customXml/itemProps2.xml><?xml version="1.0" encoding="utf-8"?>
<ds:datastoreItem xmlns:ds="http://schemas.openxmlformats.org/officeDocument/2006/customXml" ds:itemID="{6CE0898C-4D7B-4D52-AF05-1C8D7F47285F}">
  <ds:schemaRefs>
    <ds:schemaRef ds:uri="http://schemas.microsoft.com/office/2006/metadata/properties"/>
    <ds:schemaRef ds:uri="http://schemas.microsoft.com/office/infopath/2007/PartnerControls"/>
    <ds:schemaRef ds:uri="9e822e9f-9fe2-4008-a757-e55f67ed62dc"/>
    <ds:schemaRef ds:uri="be966821-d2ec-4881-8a2a-50cb75401292"/>
  </ds:schemaRefs>
</ds:datastoreItem>
</file>

<file path=customXml/itemProps3.xml><?xml version="1.0" encoding="utf-8"?>
<ds:datastoreItem xmlns:ds="http://schemas.openxmlformats.org/officeDocument/2006/customXml" ds:itemID="{9A6B4445-AE48-4BFD-B731-2DFCAB265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22e9f-9fe2-4008-a757-e55f67ed62dc"/>
    <ds:schemaRef ds:uri="be966821-d2ec-4881-8a2a-50cb75401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Conroy</dc:creator>
  <cp:keywords/>
  <dc:description/>
  <cp:lastModifiedBy>Jeremy Pearce</cp:lastModifiedBy>
  <cp:revision>101</cp:revision>
  <dcterms:created xsi:type="dcterms:W3CDTF">2023-03-16T16:50:00Z</dcterms:created>
  <dcterms:modified xsi:type="dcterms:W3CDTF">2023-03-27T10:05:00Z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0x0101007069B75513642A4691229BE092F999C4</vt:lpwstr>
  </property>
  <property fmtid="{D5CDD505-2E9C-101B-9397-08002B2CF9AE}" pid="3" name="MediaServiceImageTags">
    <vt:lpwstr/>
  </property>
</Properties>
</file>